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Mar>
          <w:top w:w="108" w:type="dxa"/>
          <w:bottom w:w="108" w:type="dxa"/>
        </w:tblCellMar>
        <w:tblLook w:val="04A0"/>
      </w:tblPr>
      <w:tblGrid>
        <w:gridCol w:w="4390"/>
        <w:gridCol w:w="4390"/>
      </w:tblGrid>
      <w:tr w:rsidR="00846BFD" w:rsidTr="00B370BC">
        <w:tc>
          <w:tcPr>
            <w:tcW w:w="87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6BFD" w:rsidRPr="00846BFD" w:rsidRDefault="00846BFD" w:rsidP="00846BFD">
            <w:pPr>
              <w:spacing w:after="200"/>
              <w:rPr>
                <w:b/>
                <w:sz w:val="28"/>
                <w:szCs w:val="28"/>
              </w:rPr>
            </w:pPr>
            <w:r w:rsidRPr="00846BFD">
              <w:rPr>
                <w:b/>
                <w:sz w:val="28"/>
                <w:szCs w:val="28"/>
              </w:rPr>
              <w:t>Comparaison des questions et réponses</w:t>
            </w:r>
          </w:p>
        </w:tc>
      </w:tr>
      <w:tr w:rsidR="006631A2" w:rsidTr="00846BFD">
        <w:tc>
          <w:tcPr>
            <w:tcW w:w="4390" w:type="dxa"/>
            <w:vAlign w:val="center"/>
          </w:tcPr>
          <w:p w:rsidR="006631A2" w:rsidRPr="006631A2" w:rsidRDefault="006631A2" w:rsidP="00846BFD">
            <w:pPr>
              <w:rPr>
                <w:rFonts w:eastAsia="Times New Roman" w:cs="Arial"/>
                <w:b/>
                <w:lang w:eastAsia="fr-CA"/>
              </w:rPr>
            </w:pPr>
            <w:r w:rsidRPr="006631A2">
              <w:rPr>
                <w:rFonts w:eastAsia="Times New Roman" w:cs="Arial"/>
                <w:b/>
                <w:lang w:eastAsia="fr-CA"/>
              </w:rPr>
              <w:t xml:space="preserve">Questions posées dans le document </w:t>
            </w:r>
            <w:r w:rsidR="00440B71">
              <w:rPr>
                <w:rFonts w:eastAsia="Times New Roman" w:cs="Arial"/>
                <w:b/>
                <w:lang w:eastAsia="fr-CA"/>
              </w:rPr>
              <w:t xml:space="preserve">de consultation </w:t>
            </w:r>
          </w:p>
        </w:tc>
        <w:tc>
          <w:tcPr>
            <w:tcW w:w="4390" w:type="dxa"/>
          </w:tcPr>
          <w:p w:rsidR="006631A2" w:rsidRPr="00040399" w:rsidRDefault="00040399" w:rsidP="00040399">
            <w:pPr>
              <w:rPr>
                <w:b/>
              </w:rPr>
            </w:pPr>
            <w:r w:rsidRPr="00040399">
              <w:rPr>
                <w:b/>
              </w:rPr>
              <w:t xml:space="preserve">Réponses données dans les Principes directeurs de l’ACÉPO (29 mai 2013) </w:t>
            </w:r>
          </w:p>
        </w:tc>
      </w:tr>
      <w:tr w:rsidR="006631A2" w:rsidTr="006631A2">
        <w:tc>
          <w:tcPr>
            <w:tcW w:w="4390" w:type="dxa"/>
          </w:tcPr>
          <w:p w:rsidR="006631A2" w:rsidRPr="006631A2" w:rsidRDefault="00040399" w:rsidP="00040399">
            <w:pPr>
              <w:pStyle w:val="Paragraphedeliste"/>
              <w:numPr>
                <w:ilvl w:val="0"/>
                <w:numId w:val="3"/>
              </w:numPr>
              <w:ind w:left="284" w:hanging="284"/>
            </w:pPr>
            <w:r>
              <w:rPr>
                <w:rFonts w:eastAsia="Times New Roman" w:cs="Arial"/>
                <w:lang w:eastAsia="fr-CA"/>
              </w:rPr>
              <w:t>Combien de « </w:t>
            </w:r>
            <w:r w:rsidR="006631A2" w:rsidRPr="006631A2">
              <w:rPr>
                <w:rFonts w:eastAsia="Times New Roman" w:cs="Arial"/>
                <w:lang w:eastAsia="fr-CA"/>
              </w:rPr>
              <w:t>paliers</w:t>
            </w:r>
            <w:r>
              <w:rPr>
                <w:rFonts w:eastAsia="Times New Roman" w:cs="Arial"/>
                <w:lang w:eastAsia="fr-CA"/>
              </w:rPr>
              <w:t> </w:t>
            </w:r>
            <w:r w:rsidR="006631A2" w:rsidRPr="006631A2">
              <w:rPr>
                <w:rFonts w:eastAsia="Times New Roman" w:cs="Arial"/>
                <w:lang w:eastAsia="fr-CA"/>
              </w:rPr>
              <w:t>» de négociation?</w:t>
            </w:r>
          </w:p>
        </w:tc>
        <w:tc>
          <w:tcPr>
            <w:tcW w:w="4390" w:type="dxa"/>
          </w:tcPr>
          <w:p w:rsidR="006631A2" w:rsidRDefault="00040399" w:rsidP="00040399">
            <w:r w:rsidRPr="00040399">
              <w:rPr>
                <w:rFonts w:eastAsia="Times New Roman" w:cs="Arial"/>
                <w:lang w:eastAsia="fr-CA"/>
              </w:rPr>
              <w:t>Que le modèle de négociatio</w:t>
            </w:r>
            <w:r>
              <w:rPr>
                <w:rFonts w:eastAsia="Times New Roman" w:cs="Arial"/>
                <w:lang w:eastAsia="fr-CA"/>
              </w:rPr>
              <w:t>n ontarien dans le secteur de l’</w:t>
            </w:r>
            <w:r w:rsidRPr="00040399">
              <w:rPr>
                <w:rFonts w:eastAsia="Times New Roman" w:cs="Arial"/>
                <w:lang w:eastAsia="fr-CA"/>
              </w:rPr>
              <w:t>éducation ait deux paliers, le palier provincial et le palier local</w:t>
            </w:r>
            <w:r>
              <w:rPr>
                <w:rFonts w:eastAsia="Times New Roman" w:cs="Arial"/>
                <w:lang w:eastAsia="fr-CA"/>
              </w:rPr>
              <w:t xml:space="preserve">. </w:t>
            </w:r>
          </w:p>
        </w:tc>
      </w:tr>
      <w:tr w:rsidR="006631A2" w:rsidTr="006631A2">
        <w:tc>
          <w:tcPr>
            <w:tcW w:w="4390" w:type="dxa"/>
          </w:tcPr>
          <w:p w:rsidR="006631A2" w:rsidRPr="006631A2" w:rsidRDefault="006631A2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>Qui négocie</w:t>
            </w:r>
            <w:r w:rsidR="00846BFD">
              <w:rPr>
                <w:rFonts w:eastAsia="Times New Roman" w:cs="Arial"/>
                <w:lang w:eastAsia="fr-CA"/>
              </w:rPr>
              <w:t>rait</w:t>
            </w:r>
            <w:r w:rsidRPr="006631A2">
              <w:rPr>
                <w:rFonts w:eastAsia="Times New Roman" w:cs="Arial"/>
                <w:lang w:eastAsia="fr-CA"/>
              </w:rPr>
              <w:t xml:space="preserve"> avec les syndicats à la table provinciale? </w:t>
            </w:r>
          </w:p>
        </w:tc>
        <w:tc>
          <w:tcPr>
            <w:tcW w:w="4390" w:type="dxa"/>
          </w:tcPr>
          <w:p w:rsidR="006631A2" w:rsidRPr="00040399" w:rsidRDefault="00040399" w:rsidP="00040399">
            <w:pPr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Que l’</w:t>
            </w:r>
            <w:r w:rsidRPr="00040399">
              <w:rPr>
                <w:rFonts w:eastAsia="Times New Roman" w:cs="Arial"/>
                <w:lang w:eastAsia="fr-CA"/>
              </w:rPr>
              <w:t>ACÉPO crée une équipe de négociations provinciales</w:t>
            </w:r>
            <w:r>
              <w:rPr>
                <w:rFonts w:eastAsia="Times New Roman" w:cs="Arial"/>
                <w:lang w:eastAsia="fr-CA"/>
              </w:rPr>
              <w:t xml:space="preserve"> […]</w:t>
            </w:r>
            <w:r w:rsidRPr="00040399">
              <w:rPr>
                <w:rFonts w:eastAsia="Times New Roman" w:cs="Arial"/>
                <w:lang w:eastAsia="fr-CA"/>
              </w:rPr>
              <w:t xml:space="preserve">. </w:t>
            </w:r>
          </w:p>
        </w:tc>
      </w:tr>
      <w:tr w:rsidR="006631A2" w:rsidTr="006631A2">
        <w:tc>
          <w:tcPr>
            <w:tcW w:w="4390" w:type="dxa"/>
          </w:tcPr>
          <w:p w:rsidR="006631A2" w:rsidRPr="006631A2" w:rsidRDefault="006631A2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En cas d’adoption d’un modèle à plusieurs paliers, qu’est-ce qui devrait être négocié à chaque palier? </w:t>
            </w:r>
          </w:p>
        </w:tc>
        <w:tc>
          <w:tcPr>
            <w:tcW w:w="4390" w:type="dxa"/>
          </w:tcPr>
          <w:p w:rsidR="006631A2" w:rsidRPr="00040399" w:rsidRDefault="00040399" w:rsidP="00040399">
            <w:pPr>
              <w:rPr>
                <w:rFonts w:eastAsia="Times New Roman" w:cs="Arial"/>
                <w:lang w:eastAsia="fr-CA"/>
              </w:rPr>
            </w:pPr>
            <w:r w:rsidRPr="00040399">
              <w:rPr>
                <w:rFonts w:eastAsia="Times New Roman" w:cs="Arial"/>
                <w:lang w:eastAsia="fr-CA"/>
              </w:rPr>
              <w:t xml:space="preserve">Que les enjeux financiers (tels principalement les salaires et avantages sociaux) constituent les dossiers </w:t>
            </w:r>
            <w:r>
              <w:rPr>
                <w:rFonts w:eastAsia="Times New Roman" w:cs="Arial"/>
                <w:lang w:eastAsia="fr-CA"/>
              </w:rPr>
              <w:t>faisant l’</w:t>
            </w:r>
            <w:r w:rsidRPr="00040399">
              <w:rPr>
                <w:rFonts w:eastAsia="Times New Roman" w:cs="Arial"/>
                <w:lang w:eastAsia="fr-CA"/>
              </w:rPr>
              <w:t>objet de négociations provinciales et que les autres dossiers fassent partie des négociations locales de chaque conseil scolaire membre de l</w:t>
            </w:r>
            <w:r>
              <w:rPr>
                <w:rFonts w:eastAsia="Times New Roman" w:cs="Arial"/>
                <w:lang w:eastAsia="fr-CA"/>
              </w:rPr>
              <w:t>’</w:t>
            </w:r>
            <w:r w:rsidRPr="00040399">
              <w:rPr>
                <w:rFonts w:eastAsia="Times New Roman" w:cs="Arial"/>
                <w:lang w:eastAsia="fr-CA"/>
              </w:rPr>
              <w:t>ACÉPO.</w:t>
            </w:r>
            <w:r>
              <w:rPr>
                <w:rFonts w:eastAsia="Times New Roman" w:cs="Arial"/>
                <w:lang w:eastAsia="fr-CA"/>
              </w:rPr>
              <w:t xml:space="preserve"> </w:t>
            </w:r>
          </w:p>
        </w:tc>
      </w:tr>
      <w:tr w:rsidR="00846BFD" w:rsidTr="006631A2">
        <w:tc>
          <w:tcPr>
            <w:tcW w:w="4390" w:type="dxa"/>
          </w:tcPr>
          <w:p w:rsidR="00846BFD" w:rsidRPr="006631A2" w:rsidRDefault="00846BFD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>Combien de tables devrait-il y avoir?</w:t>
            </w:r>
          </w:p>
        </w:tc>
        <w:tc>
          <w:tcPr>
            <w:tcW w:w="4390" w:type="dxa"/>
            <w:vMerge w:val="restart"/>
          </w:tcPr>
          <w:p w:rsidR="00846BFD" w:rsidRDefault="00846BFD" w:rsidP="00040399">
            <w:pPr>
              <w:rPr>
                <w:rFonts w:eastAsia="Times New Roman" w:cs="Arial"/>
                <w:lang w:eastAsia="fr-CA"/>
              </w:rPr>
            </w:pPr>
            <w:r>
              <w:rPr>
                <w:rFonts w:eastAsia="Times New Roman" w:cs="Arial"/>
                <w:lang w:eastAsia="fr-CA"/>
              </w:rPr>
              <w:t>Réponse partielle :</w:t>
            </w:r>
          </w:p>
          <w:p w:rsidR="00846BFD" w:rsidRDefault="00846BFD" w:rsidP="00040399">
            <w:r w:rsidRPr="00040399">
              <w:rPr>
                <w:rFonts w:eastAsia="Times New Roman" w:cs="Arial"/>
                <w:lang w:eastAsia="fr-CA"/>
              </w:rPr>
              <w:t>Que le modèle de négociations à deux paliers soit le même pour le personnel enseignant et le personnel non-enseignant.</w:t>
            </w:r>
            <w:r>
              <w:rPr>
                <w:rFonts w:eastAsia="Times New Roman" w:cs="Arial"/>
                <w:lang w:eastAsia="fr-CA"/>
              </w:rPr>
              <w:t xml:space="preserve"> </w:t>
            </w:r>
          </w:p>
        </w:tc>
      </w:tr>
      <w:tr w:rsidR="00846BFD" w:rsidTr="006631A2">
        <w:tc>
          <w:tcPr>
            <w:tcW w:w="4390" w:type="dxa"/>
          </w:tcPr>
          <w:p w:rsidR="00846BFD" w:rsidRPr="006631A2" w:rsidRDefault="00846BFD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Les négociations provinciales devraient-elles s’appliquer uniquement au personnel enseignant ou à la fois au personnel enseignant et au personnel de soutien? </w:t>
            </w:r>
          </w:p>
        </w:tc>
        <w:tc>
          <w:tcPr>
            <w:tcW w:w="4390" w:type="dxa"/>
            <w:vMerge/>
          </w:tcPr>
          <w:p w:rsidR="00846BFD" w:rsidRPr="00040399" w:rsidRDefault="00846BFD" w:rsidP="00040399">
            <w:pPr>
              <w:rPr>
                <w:rFonts w:eastAsia="Times New Roman" w:cs="Arial"/>
                <w:lang w:eastAsia="fr-CA"/>
              </w:rPr>
            </w:pPr>
          </w:p>
        </w:tc>
      </w:tr>
      <w:tr w:rsidR="006631A2" w:rsidTr="006631A2">
        <w:tc>
          <w:tcPr>
            <w:tcW w:w="4390" w:type="dxa"/>
          </w:tcPr>
          <w:p w:rsidR="006631A2" w:rsidRPr="006631A2" w:rsidRDefault="006631A2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Quel devrait être le mode de fonctionnement du processus de grève/lockout? </w:t>
            </w:r>
          </w:p>
        </w:tc>
        <w:tc>
          <w:tcPr>
            <w:tcW w:w="4390" w:type="dxa"/>
          </w:tcPr>
          <w:p w:rsidR="006631A2" w:rsidRDefault="00846BFD">
            <w:r>
              <w:t xml:space="preserve">Pas de réponse </w:t>
            </w:r>
          </w:p>
        </w:tc>
      </w:tr>
      <w:tr w:rsidR="00846BFD" w:rsidTr="006631A2">
        <w:tc>
          <w:tcPr>
            <w:tcW w:w="4390" w:type="dxa"/>
          </w:tcPr>
          <w:p w:rsidR="00846BFD" w:rsidRPr="006631A2" w:rsidRDefault="00846BFD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Quel devrait être le processus de ratification pour les conseils scolaires et les syndicats? </w:t>
            </w:r>
          </w:p>
        </w:tc>
        <w:tc>
          <w:tcPr>
            <w:tcW w:w="4390" w:type="dxa"/>
          </w:tcPr>
          <w:p w:rsidR="00846BFD" w:rsidRDefault="00846BFD" w:rsidP="00D21F98">
            <w:r>
              <w:t xml:space="preserve">Pas de réponse </w:t>
            </w:r>
          </w:p>
        </w:tc>
      </w:tr>
      <w:tr w:rsidR="00846BFD" w:rsidTr="006631A2">
        <w:tc>
          <w:tcPr>
            <w:tcW w:w="4390" w:type="dxa"/>
          </w:tcPr>
          <w:p w:rsidR="00846BFD" w:rsidRPr="006631A2" w:rsidRDefault="00846BFD" w:rsidP="00846BFD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Quel serait l’ordre approprié pour les négociations? </w:t>
            </w:r>
          </w:p>
        </w:tc>
        <w:tc>
          <w:tcPr>
            <w:tcW w:w="4390" w:type="dxa"/>
          </w:tcPr>
          <w:p w:rsidR="00846BFD" w:rsidRDefault="00846BFD" w:rsidP="00D21F98">
            <w:r>
              <w:t xml:space="preserve">Pas de réponse </w:t>
            </w:r>
          </w:p>
        </w:tc>
      </w:tr>
      <w:tr w:rsidR="00846BFD" w:rsidTr="006631A2">
        <w:tc>
          <w:tcPr>
            <w:tcW w:w="4390" w:type="dxa"/>
          </w:tcPr>
          <w:p w:rsidR="00846BFD" w:rsidRPr="006631A2" w:rsidRDefault="00846BFD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Comment la convention collective devrait-elle être administrée entre les négociations? </w:t>
            </w:r>
          </w:p>
        </w:tc>
        <w:tc>
          <w:tcPr>
            <w:tcW w:w="4390" w:type="dxa"/>
          </w:tcPr>
          <w:p w:rsidR="00846BFD" w:rsidRDefault="00846BFD" w:rsidP="00D21F98">
            <w:r>
              <w:t xml:space="preserve">Pas de réponse </w:t>
            </w:r>
          </w:p>
        </w:tc>
      </w:tr>
      <w:tr w:rsidR="00846BFD" w:rsidTr="006631A2">
        <w:tc>
          <w:tcPr>
            <w:tcW w:w="4390" w:type="dxa"/>
          </w:tcPr>
          <w:p w:rsidR="00846BFD" w:rsidRPr="006631A2" w:rsidRDefault="00846BFD" w:rsidP="006631A2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eastAsia="Times New Roman" w:cs="Arial"/>
                <w:lang w:eastAsia="fr-CA"/>
              </w:rPr>
            </w:pPr>
            <w:r w:rsidRPr="006631A2">
              <w:rPr>
                <w:rFonts w:eastAsia="Times New Roman" w:cs="Arial"/>
                <w:lang w:eastAsia="fr-CA"/>
              </w:rPr>
              <w:t xml:space="preserve">Quel processus devrait être utilisé pour les discussions touchant le personnel de direction et de direction adjointe? </w:t>
            </w:r>
          </w:p>
        </w:tc>
        <w:tc>
          <w:tcPr>
            <w:tcW w:w="4390" w:type="dxa"/>
          </w:tcPr>
          <w:p w:rsidR="00846BFD" w:rsidRDefault="00846BFD" w:rsidP="00D21F98">
            <w:r>
              <w:t xml:space="preserve">Pas de réponse </w:t>
            </w:r>
          </w:p>
        </w:tc>
      </w:tr>
    </w:tbl>
    <w:p w:rsidR="00D84FAF" w:rsidRDefault="00D84FAF"/>
    <w:sectPr w:rsidR="00D84FAF" w:rsidSect="00D84F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189"/>
    <w:multiLevelType w:val="hybridMultilevel"/>
    <w:tmpl w:val="7E32AE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4832"/>
    <w:multiLevelType w:val="hybridMultilevel"/>
    <w:tmpl w:val="0012EA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23BA"/>
    <w:multiLevelType w:val="hybridMultilevel"/>
    <w:tmpl w:val="A2FE6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characterSpacingControl w:val="doNotCompress"/>
  <w:compat/>
  <w:rsids>
    <w:rsidRoot w:val="006631A2"/>
    <w:rsid w:val="00040399"/>
    <w:rsid w:val="00440B71"/>
    <w:rsid w:val="006631A2"/>
    <w:rsid w:val="00846BFD"/>
    <w:rsid w:val="00B3657B"/>
    <w:rsid w:val="00D84FAF"/>
    <w:rsid w:val="00E5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Dube</dc:creator>
  <cp:lastModifiedBy>Martin Dube</cp:lastModifiedBy>
  <cp:revision>2</cp:revision>
  <dcterms:created xsi:type="dcterms:W3CDTF">2013-06-10T18:39:00Z</dcterms:created>
  <dcterms:modified xsi:type="dcterms:W3CDTF">2013-06-10T19:39:00Z</dcterms:modified>
</cp:coreProperties>
</file>